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48" w:rsidRPr="00B91E48" w:rsidRDefault="00B91E48" w:rsidP="00B91E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 w:bidi="ar-SA"/>
        </w:rPr>
        <w:t>Федеральный закон №157-ФЗ от 17.09.1998</w:t>
      </w:r>
    </w:p>
    <w:p w:rsidR="00B91E48" w:rsidRPr="00B91E48" w:rsidRDefault="00B91E48" w:rsidP="00B91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Об иммунопрофилактике инфекционных болезней </w:t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br/>
        <w:t>(с изменениями от 7 августа 2000 г., 10 января 2003 г., 22 августа, 29 декабря 2004 г.)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Принят Государственной Думой 17 июля 1998 года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Одобрен Советом Федерации 4 сентября 1998 года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Глава I. Общие положения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1. Основные понятия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целях настоящего Федерального закона используются следующие основные понятия:</w:t>
      </w:r>
    </w:p>
    <w:p w:rsidR="00B91E48" w:rsidRPr="00B91E48" w:rsidRDefault="00B91E48" w:rsidP="00B91E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профилактические прививки - введение в организм человека медицинских иммунобиологических препаратов для создания специфической невосприимчивости к инфекционным болезням;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медицинские иммунобиологические препараты -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национальный календарь профилактических прививок - нормативный правовой акт, устанавливающий сроки и порядок проведения гражданам профилактических прививок;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поствакцинальные осложнения, вызванные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сертификат профилактических прививок - документ, в котором регистрируются профилактические прививки гражданина.</w:t>
      </w:r>
    </w:p>
    <w:p w:rsidR="00B91E48" w:rsidRPr="00B91E48" w:rsidRDefault="00B91E48" w:rsidP="00B91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Статья 2. Законодательство Российской Федерации в области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2. Если международным договором Российской Федерации установлены иные правила, 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чем предусмотренные настоящим Федеральным законом, применяются правила международного договора.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3. Сфера действия настоящего Федерального закона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Действие настоящего Федерального закона распространяется на граждан и юридических лиц.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Иностранные граждане и лица без гражданства, постоянно или временно проживающие на территории Российской Федерации, пользуются правами и несут обязанности, которые установлены настоящим Федеральным законом.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Глава II. Государственная политика в области иммунопрофилактики. Права и обязанности граждан при осуществлении иммунопрофилактики. 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4. Государственная политика в области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В области иммунопрофилактики государство гарантирует:</w:t>
      </w:r>
    </w:p>
    <w:p w:rsidR="00B91E48" w:rsidRPr="00B91E48" w:rsidRDefault="00B91E48" w:rsidP="00B91E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доступность для граждан профилактических прививок;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бесплатное проведение профилактических прививок, включенных в национальный календарь профилактических прививок, и профилактических прививок по эпидемическим показаниям в организациях государственной и муниципальной систем здравоохранения;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социальную поддержку граждан при возникновении поствакцинальных осложнений;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разработку и реализацию федеральных целевых программ и региональных программ;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использование для осуществления иммунопрофилактики эффективных медицинских иммунобиологических препаратов;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государственный контроль качества, эффективности и безопасности медицинских иммунобиологических препаратов;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поддержку научных исследований в области разработки новых медицинских иммунобиологических препаратов;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обеспечение современного уровня производства медицинских иммунобиологических препаратов;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государственную поддержку отечественных производителей медицинских иммунобиологических препаратов;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включение в государственные образовательные стандарты подготовки медицинских работников вопросов иммунопрофилактики;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совершенствование системы статистического наблюдения;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обеспечение единой государственной информационной политики;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развитие международного сотрудничества.</w:t>
      </w:r>
    </w:p>
    <w:p w:rsidR="00B91E48" w:rsidRPr="00B91E48" w:rsidRDefault="00B91E48" w:rsidP="00B91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5. Права и обязанности граждан при осуществлении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Граждане при осуществлении иммунопрофилактики имеют право на:</w:t>
      </w:r>
    </w:p>
    <w:p w:rsidR="00B91E48" w:rsidRPr="00B91E48" w:rsidRDefault="00B91E48" w:rsidP="00B91E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бесплатные профилактические прививки, включенные в национальный календарь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Программы государственных гарантий оказания гражданам Российской Федерации бесплатной медицинской помощи;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социальную поддержку при возникновении поствакцинальных осложнений;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отказ от профилактических прививок.</w:t>
      </w:r>
    </w:p>
    <w:p w:rsidR="00B91E48" w:rsidRPr="00B91E48" w:rsidRDefault="00B91E48" w:rsidP="00B91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Отсутствие профилактических прививок влечет:</w:t>
      </w:r>
    </w:p>
    <w:p w:rsidR="00B91E48" w:rsidRPr="00B91E48" w:rsidRDefault="00B91E48" w:rsidP="00B91E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B91E48" w:rsidRPr="00B91E48" w:rsidRDefault="00B91E48" w:rsidP="00B91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Правительством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При осуществлении иммунопрофилактики граждане обязаны: выполнять предписания медицинских работников;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письменной форме подтверждать отказ от профилактических прививок. 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Глава III. Финансовое обеспечение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6. Финансовое обеспечение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7. (Поставки медицинских иммунобиологических препаратов.) </w:t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Утратила силу с 1 января 2005 г.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Глава IV. Организационные основы деятельности в области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8. Организационные основы деятельности в области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Осуществление иммунопрофилактики обеспечивают федеральный орган исполнительной власти в области здравоохранения, федеральный орган исполнительной власти, уполномоченный осуществлять санитарно-эпидемиологический надзор, органы управления здравоохранением субъектов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обеспечивают военно-медицинские учреждения.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9. Национальный календарь профилактических прививок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Национальный календарь профилактических прививок включает профилактические прививки против гепатита В, дифтерии, коклюша, кори, краснухи, полиомиелита, столбняка, туберкулеза, эпидемического паротита.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Указанные профилактические прививки проводятся всем гражданам Российской Федерации в сроки, установленные национальным календарем профилактических прививок.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Национальный календарь профилактических прививок утверждается федеральным органом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10. Профилактические прививки по эпидемическим показаниям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Сроки и порядок проведения профилактических прививок по эпидемическим показаниям устанавливает федеральный орган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11. Требования к проведению профилактических прививок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Профилактические прививки проводятся гражданам в государственных, муниципальных или частных организациях здравоохранения либо гражданами, занимающимися частной медицинской практикой, при наличии лицензий на медицинскую деятельность.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Профилактические прививки проводятся с согласия граждан,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Профилактические прививки проводятся гражданам, не имеющим медицинских противопоказаний.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Перечень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4. 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12. Требования к медицинским иммунобиологическим препаратам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медицинские иммунобиологические препараты.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Медицинские иммунобиологические препараты, используемые для иммунопрофилактики, подлежат обязательной сертификации.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Отпуск гражданам медицинских иммунобиологических препаратов, используемых для иммунопрофилактики, производится по рецептам врачей аптечными организациями и организациями здравоохранения в порядке, установленном федеральным органом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13. Хранение и транспортировка медицинских иммунобиологических препаратов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Хранение и транспортировка медицинских иммунобиологических препаратов осуществляются в соответствии с требованиями санитарных правил.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Контроль за хранением и транспортировкой медицинских иммунобиологических препаратов обеспечивают органы, осуществляющие государственный санитарно-эпидемиологический надзор.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14. Государственный контроль медицинских иммунобиологических препаратов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Государственный контроль качества, эффективности и безопасности медицинских иммунобиологических препаратов, используемых для иммунопрофилактики, осуществляет федеральный орган, уполномоченный Правительством Российской Федерации на осуществление контроля медицинских иммунобиологических препаратов.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15. Обеспечение медицинскими иммунобиологическими препаратами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Обеспечение государственных и муниципальных организаций здравоохранения медицинскими иммунобиологическими препаратами для проведения профилактических прививок, включенных в национальный календарь профилактических прививок, и профилактических прививок по эпидемическим показаниям осуществляют федеральный орган исполнительной власти в области здравоохранения и органы управления здравоохранением субъектов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16. (Особенности лицензирования видов деятельности в области иммунопрофилактики.) </w:t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Исключена.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17. Государственное статистическое наблюдение в области иммунопрофилактики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Сведения о профилактических прививках, поствакцинальных осложнениях, случаях отказа от профилактических прививок подлежат государственному статистическому учету.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сертификата профилактических прививок устанавливаются федеральным органом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Глава V. Социальная поддержка граждан при возникновении поствакцинальных осложнений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18. Право граждан на социальную поддержку при возникновении поствакцинальных осложнений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компенсаций, образованного в федеральном бюджете, в виде субвенций.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статьями 19 и 20 настоящего Федерального закона.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Порядок расходования и учета средств на предоставление субвенций устанавливается Правительством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Средства на реализацию указанных полномочий носят целевой характер и не могут быть использованы на другие цели.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законодательством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 и социального развития, Счетной палатой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19. Государственные единовременные пособия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При возникновении поствакцинального осложнения гражданин имеет право на получение государственного единовременного пособия в размере 10000 рублей.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Перечень поствакцинальных осложнений, дающих право гражданам на получение государственных единовременных пособий, утверждается Правительством Российской Федерации по представлению федерального органа исполнительной власти в области здравоохранения.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В случае смерти гражданина, наступившей вследствие поствакцинального осложнения, право на получение государственного единовременного пособия в размере 30000 рублей имеют члены его семьи.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20. Ежемесячные денежные компенсации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Гражданин, признанный инвалидом вследствие поствакцинального осложнения, имеет право на получение ежемесячной денежной компенсации в размере 1000 рублей.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21. Пособия по временной нетрудоспособности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Гражданин, у которого временная нетрудоспособность связана с поствакцинальным осложнением, имеет право на получение пособия по временной нетрудоспособности в размере 100 процентов среднего заработка независимо от непрерывного стажа работы.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Один из родителей либо иной законный представитель несовершеннолетнего имеет право на получение пособия по временной нетрудоспособности за все время болезни несовершеннолетнего, связанной с поствакцинальным осложнением, в размере 100 процентов от среднего заработка независимо от непрерывного стажа работы.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Глава VI. Заключительные положения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22. Ответственность за нарушение настоящего Федерального закона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Нарушение настоящего Федерального закона влечет ответственность в соответствии с законодательством Российской Федерации.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Статья 23. Вступление в силу настоящего Федерального закона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1. Настоящий Федеральный закон вступает в силу со дня его официального опубликования.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трехмесячный срок со дня его вступления в силу.</w:t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B91E4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Москва, Кремль</w:t>
      </w:r>
      <w:r w:rsidRPr="00B91E4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br/>
        <w:t>17 сентября 1998 г.</w:t>
      </w:r>
      <w:r w:rsidRPr="00B91E4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br/>
        <w:t>№ 157-ФЗ</w:t>
      </w:r>
    </w:p>
    <w:p w:rsidR="00B91E48" w:rsidRPr="00B91E48" w:rsidRDefault="00B91E48" w:rsidP="00B91E48">
      <w:pPr>
        <w:shd w:val="clear" w:color="auto" w:fill="CDFFA1"/>
        <w:spacing w:line="240" w:lineRule="auto"/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</w:pPr>
      <w:r w:rsidRPr="00B91E48"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  <w:t>Всего комментариев: 1</w:t>
      </w:r>
      <w:r w:rsidRPr="00B91E48">
        <w:rPr>
          <w:rFonts w:ascii="Arial" w:eastAsia="Times New Roman" w:hAnsi="Arial" w:cs="Arial"/>
          <w:color w:val="484848"/>
          <w:sz w:val="18"/>
          <w:lang w:val="ru-RU" w:eastAsia="ru-RU" w:bidi="ar-SA"/>
        </w:rPr>
        <w:t>Написать комментарий</w:t>
      </w:r>
    </w:p>
    <w:p w:rsidR="00B91E48" w:rsidRPr="00B91E48" w:rsidRDefault="00B91E48" w:rsidP="00B91E48">
      <w:pPr>
        <w:shd w:val="clear" w:color="auto" w:fill="EAEBEB"/>
        <w:spacing w:after="0" w:line="240" w:lineRule="auto"/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</w:pPr>
      <w:r w:rsidRPr="00B91E48">
        <w:rPr>
          <w:rFonts w:ascii="Arial" w:eastAsia="Times New Roman" w:hAnsi="Arial" w:cs="Arial"/>
          <w:b/>
          <w:bCs/>
          <w:color w:val="484848"/>
          <w:sz w:val="18"/>
          <w:szCs w:val="18"/>
          <w:lang w:val="ru-RU" w:eastAsia="ru-RU" w:bidi="ar-SA"/>
        </w:rPr>
        <w:t>Елена</w:t>
      </w:r>
      <w:r w:rsidRPr="00B91E48">
        <w:rPr>
          <w:rFonts w:ascii="Arial" w:eastAsia="Times New Roman" w:hAnsi="Arial" w:cs="Arial"/>
          <w:color w:val="484848"/>
          <w:sz w:val="18"/>
          <w:lang w:val="ru-RU" w:eastAsia="ru-RU" w:bidi="ar-SA"/>
        </w:rPr>
        <w:t> </w:t>
      </w:r>
      <w:hyperlink r:id="rId4" w:tgtFrame="_blank" w:history="1">
        <w:r w:rsidRPr="00B91E48">
          <w:rPr>
            <w:rFonts w:ascii="Arial" w:eastAsia="Times New Roman" w:hAnsi="Arial" w:cs="Arial"/>
            <w:color w:val="008040"/>
            <w:sz w:val="15"/>
            <w:u w:val="single"/>
            <w:lang w:val="ru-RU" w:eastAsia="ru-RU" w:bidi="ar-SA"/>
          </w:rPr>
          <w:t>...</w:t>
        </w:r>
      </w:hyperlink>
      <w:r w:rsidRPr="00B91E48">
        <w:rPr>
          <w:rFonts w:ascii="Arial" w:eastAsia="Times New Roman" w:hAnsi="Arial" w:cs="Arial"/>
          <w:color w:val="484848"/>
          <w:sz w:val="18"/>
          <w:lang w:val="ru-RU" w:eastAsia="ru-RU" w:bidi="ar-SA"/>
        </w:rPr>
        <w:t> </w:t>
      </w:r>
      <w:r w:rsidRPr="00B91E48">
        <w:rPr>
          <w:rFonts w:ascii="Arial" w:eastAsia="Times New Roman" w:hAnsi="Arial" w:cs="Arial"/>
          <w:color w:val="484848"/>
          <w:sz w:val="15"/>
          <w:szCs w:val="15"/>
          <w:lang w:val="ru-RU" w:eastAsia="ru-RU" w:bidi="ar-SA"/>
        </w:rPr>
        <w:t>(2013-08-22 22:00:24)</w:t>
      </w:r>
      <w:r w:rsidRPr="00B91E48">
        <w:rPr>
          <w:rFonts w:ascii="Arial" w:eastAsia="Times New Roman" w:hAnsi="Arial" w:cs="Arial"/>
          <w:color w:val="484848"/>
          <w:sz w:val="18"/>
          <w:lang w:val="ru-RU" w:eastAsia="ru-RU" w:bidi="ar-SA"/>
        </w:rPr>
        <w:t>ответить</w:t>
      </w:r>
    </w:p>
    <w:p w:rsidR="00B91E48" w:rsidRPr="00B91E48" w:rsidRDefault="00B91E48" w:rsidP="00B91E48">
      <w:pPr>
        <w:shd w:val="clear" w:color="auto" w:fill="F1F2F2"/>
        <w:spacing w:after="0" w:line="240" w:lineRule="auto"/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</w:pPr>
      <w:r w:rsidRPr="00B91E48"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  <w:t>Всем доброго времени суток! У моего ребенка в 2 месяца после операции от поставленной в роддоме прививки были эти самые поствакцинальные последствия. Соцзащита выплатила 10000 руб, 4 месяца отставали от других детей по следующим прививкам, не могли из-за этого посещать бассейн, плюс выписывали жуткие таблетки, которые влияют на печень, и таблетки для восстановления этой самой печени (мы с мужем приняли решение не травить нашу малышку и все таблетки спустили в унитаз). Ребенок восстановился самостоятельно, на вопросы врачей пьем ли мы эту гадость, отвечала "пьем"! И все были довольны: врачи - что ребенок хорошо себя чувствует, и мы с мужем, что приняли верное решение. На 10000 руб богаче мы не стали, это я считаю унизительно вообще.</w:t>
      </w:r>
      <w:r w:rsidRPr="00B91E48">
        <w:rPr>
          <w:rFonts w:ascii="Arial" w:eastAsia="Times New Roman" w:hAnsi="Arial" w:cs="Arial"/>
          <w:color w:val="484848"/>
          <w:sz w:val="18"/>
          <w:lang w:val="ru-RU" w:eastAsia="ru-RU" w:bidi="ar-SA"/>
        </w:rPr>
        <w:t> </w:t>
      </w:r>
      <w:r w:rsidRPr="00B91E48"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  <w:br/>
        <w:t>Сейчас, спустя 6 лет, подписываю согласие на очередную прививку, выдалась минутка свободная, вот и решила почитать.</w:t>
      </w:r>
      <w:r w:rsidRPr="00B91E48">
        <w:rPr>
          <w:rFonts w:ascii="Arial" w:eastAsia="Times New Roman" w:hAnsi="Arial" w:cs="Arial"/>
          <w:color w:val="484848"/>
          <w:sz w:val="18"/>
          <w:szCs w:val="18"/>
          <w:lang w:val="ru-RU" w:eastAsia="ru-RU" w:bidi="ar-SA"/>
        </w:rPr>
        <w:br/>
        <w:t>Меня будоражит один вопрос к нашему государству: а почему жизнь человека при всей ее неповторимости, всех красках, эмоциях, возможностях ценится в нашем государстве всего на 30000 руб??? Либо человек в этом государстве сильно много, что обесценились настолько, либо государство нищее (и в материальном и в моральном смысле, что само по себе страшнее). Хочется сделать вывод для себя: пора менять это самое государство</w:t>
      </w:r>
    </w:p>
    <w:p w:rsidR="00FD7689" w:rsidRDefault="00FD7689"/>
    <w:sectPr w:rsidR="00FD7689" w:rsidSect="00F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91E48"/>
    <w:rsid w:val="00410A94"/>
    <w:rsid w:val="009C070F"/>
    <w:rsid w:val="00A04E91"/>
    <w:rsid w:val="00AE5D46"/>
    <w:rsid w:val="00B91E48"/>
    <w:rsid w:val="00C6229B"/>
    <w:rsid w:val="00C72B98"/>
    <w:rsid w:val="00E71BB3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3"/>
  </w:style>
  <w:style w:type="paragraph" w:styleId="1">
    <w:name w:val="heading 1"/>
    <w:basedOn w:val="a"/>
    <w:next w:val="a"/>
    <w:link w:val="10"/>
    <w:uiPriority w:val="9"/>
    <w:qFormat/>
    <w:rsid w:val="00E71BB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BB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B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B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B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B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B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BB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1BB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1BB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1BB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1B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B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1B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1BB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71BB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71B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71B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71BB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71B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71B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1BB3"/>
  </w:style>
  <w:style w:type="paragraph" w:styleId="ac">
    <w:name w:val="List Paragraph"/>
    <w:basedOn w:val="a"/>
    <w:uiPriority w:val="34"/>
    <w:qFormat/>
    <w:rsid w:val="00E71B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1B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1B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71BB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71BB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71BB3"/>
    <w:rPr>
      <w:i/>
      <w:iCs/>
    </w:rPr>
  </w:style>
  <w:style w:type="character" w:styleId="af0">
    <w:name w:val="Intense Emphasis"/>
    <w:uiPriority w:val="21"/>
    <w:qFormat/>
    <w:rsid w:val="00E71B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71BB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71BB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71BB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71BB3"/>
    <w:pPr>
      <w:outlineLvl w:val="9"/>
    </w:pPr>
  </w:style>
  <w:style w:type="character" w:customStyle="1" w:styleId="apple-converted-space">
    <w:name w:val="apple-converted-space"/>
    <w:basedOn w:val="a0"/>
    <w:rsid w:val="00B91E48"/>
  </w:style>
  <w:style w:type="character" w:customStyle="1" w:styleId="add-comment">
    <w:name w:val="add-comment"/>
    <w:basedOn w:val="a0"/>
    <w:rsid w:val="00B91E48"/>
  </w:style>
  <w:style w:type="character" w:styleId="af5">
    <w:name w:val="Hyperlink"/>
    <w:basedOn w:val="a0"/>
    <w:uiPriority w:val="99"/>
    <w:semiHidden/>
    <w:unhideWhenUsed/>
    <w:rsid w:val="00B91E48"/>
    <w:rPr>
      <w:color w:val="0000FF"/>
      <w:u w:val="single"/>
    </w:rPr>
  </w:style>
  <w:style w:type="character" w:customStyle="1" w:styleId="comment-ans">
    <w:name w:val="comment-ans"/>
    <w:basedOn w:val="a0"/>
    <w:rsid w:val="00B91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9723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82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mama.ru/anamnez.php?id=1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2929</Words>
  <Characters>16700</Characters>
  <Application>Microsoft Office Word</Application>
  <DocSecurity>0</DocSecurity>
  <Lines>139</Lines>
  <Paragraphs>39</Paragraphs>
  <ScaleCrop>false</ScaleCrop>
  <Company>Microsoft</Company>
  <LinksUpToDate>false</LinksUpToDate>
  <CharactersWithSpaces>19590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2017-02-08T11:00:00Z</dcterms:created>
  <dcterms:modified xsi:type="dcterms:W3CDTF">2017-02-08T11:00:00Z</dcterms:modified>
</cp:coreProperties>
</file>